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64a2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64a2"/>
          <w:sz w:val="32"/>
          <w:szCs w:val="32"/>
          <w:u w:val="none"/>
          <w:vertAlign w:val="baseline"/>
          <w:rtl w:val="0"/>
        </w:rPr>
        <w:t xml:space="preserve">ОБЩЕРОССИЙСКАЯ ОБЩЕСТВЕННАЯ ОРГАНИЗАЦИЯ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72"/>
          <w:szCs w:val="7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40"/>
          <w:szCs w:val="40"/>
          <w:u w:val="none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72"/>
          <w:szCs w:val="72"/>
          <w:u w:val="none"/>
          <w:vertAlign w:val="baseline"/>
          <w:rtl w:val="0"/>
        </w:rPr>
        <w:t xml:space="preserve">«ЕЗИДСКИЙ КОНГРЕСС»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72"/>
          <w:szCs w:val="72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       Ул. Энтузиастов 2-я, д. 5/1-9, Москва, Россия, 111024; тел.: +7 (495) 539-52-07; e-mail: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vertAlign w:val="baseline"/>
            <w:rtl w:val="0"/>
          </w:rPr>
          <w:t xml:space="preserve">Ezidi-kongres@yandex.ru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07 марта 2017 г.                                                                                            г. Москва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по поводу вооруженных столкновений в городе Хана Сор (округ Шангал)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2017 г. начались вооруженные столкновения между формированиями «Сил защиты Шангала» и Пешмарга – Рожава, подконтрольными, соответственно, Рабочей партии Курдистана и Демократической партии Курдистана. Драматизм ситуации заключается в том, что эти столкновения начались и продолжаются на территории округа Шангал (провинция Найнава, Республика Ирак), езидское население которого еще не успело опомниться от геноцида, совершенного по отношению к ним террористами из организации «Исламское государство».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 xml:space="preserve">«Езидский конгресс» в своих заявлениях и его представители в различных программах на Lalish TV ранее обращали внимание на недопустимость формирования противоборствующими курдскими партиями вооруженных отрядов из числа езидов Шангала. Ведь тысячи езидов влились в ряды этих формирований, поверив обещаниям руководства этих партий и Курдского регионального правительства использовать создаваемые вооруженные силы для защиты Шангала именно от террористов, а не для братоубийственной войны.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36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Обращаемся к руководству вовлеченных в конфликт партий и Курдского региона Ирака вновь с настоятельным призывом распустить свои вооруженные формирования и вывести их с территорий компактного проживания мирного езидского населения.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36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Если курдские партии и правительство Курдского района действительно хотят помогать народу Шангала, то эта помощь должна заключаться в восстановлении Шангала, в освобождении находящихся в плену и рабстве женщин и детей шангальцев, в обеспечении оружием «Сил защиты Эзидхана» по установления мира и порядка в Шангале.</w:t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Ezidi-kongres@yandex.ru" TargetMode="External"/></Relationships>
</file>